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5000" w:type="pct"/>
        <w:tblLook w:val="01E0" w:firstRow="1" w:lastRow="1" w:firstColumn="1" w:lastColumn="1" w:noHBand="0" w:noVBand="0"/>
      </w:tblPr>
      <w:tblGrid>
        <w:gridCol w:w="4535"/>
        <w:gridCol w:w="4779"/>
      </w:tblGrid>
      <w:tr w:rsidR="00A81E21" w:rsidRPr="00F47608" w:rsidTr="00BF526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21" w:rsidRPr="00F47608" w:rsidRDefault="00A81E21" w:rsidP="00BF526E">
            <w:pPr>
              <w:pStyle w:val="Heading1"/>
              <w:framePr w:hSpace="0" w:wrap="auto" w:yAlign="inline"/>
              <w:rPr>
                <w:lang w:val="fr-CA"/>
              </w:rPr>
            </w:pPr>
            <w:bookmarkStart w:id="0" w:name="_GoBack"/>
            <w:bookmarkEnd w:id="0"/>
            <w:r w:rsidRPr="00F47608">
              <w:rPr>
                <w:noProof/>
                <w:lang w:val="fr-CA" w:bidi="fr-FR"/>
              </w:rPr>
              <w:drawing>
                <wp:anchor distT="0" distB="0" distL="114300" distR="114300" simplePos="0" relativeHeight="251659264" behindDoc="0" locked="0" layoutInCell="1" allowOverlap="1" wp14:anchorId="14B06039" wp14:editId="4D681A10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-804545</wp:posOffset>
                  </wp:positionV>
                  <wp:extent cx="1590675" cy="1604518"/>
                  <wp:effectExtent l="0" t="0" r="0" b="0"/>
                  <wp:wrapNone/>
                  <wp:docPr id="3" name="Image 3" title="Cœ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e mariage TM02807926 CŒURS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0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7608">
              <w:rPr>
                <w:lang w:val="fr-CA" w:bidi="fr-FR"/>
              </w:rPr>
              <w:t>Trousse d’urgence pour le jour</w:t>
            </w:r>
            <w:r w:rsidR="00C50FE1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>du mariage</w:t>
            </w:r>
          </w:p>
        </w:tc>
      </w:tr>
      <w:tr w:rsidR="00A81E21" w:rsidRPr="00F47608" w:rsidTr="00BF526E">
        <w:tc>
          <w:tcPr>
            <w:tcW w:w="9360" w:type="dxa"/>
            <w:gridSpan w:val="2"/>
          </w:tcPr>
          <w:p w:rsidR="00A81E21" w:rsidRPr="00F47608" w:rsidRDefault="00A81E21" w:rsidP="00BF526E">
            <w:pPr>
              <w:framePr w:hSpace="0" w:wrap="auto" w:yAlign="inline"/>
              <w:rPr>
                <w:lang w:val="fr-CA"/>
              </w:rPr>
            </w:pPr>
            <w:r w:rsidRPr="00F47608">
              <w:rPr>
                <w:lang w:val="fr-CA" w:bidi="fr-FR"/>
              </w:rPr>
              <w:t>Liste des choses que chaque mariée doit avoir sous la main le jour de son mariage.</w:t>
            </w:r>
            <w:r w:rsidR="00C50FE1" w:rsidRPr="00F47608">
              <w:rPr>
                <w:lang w:val="fr-CA"/>
              </w:rPr>
              <w:t xml:space="preserve"> </w:t>
            </w:r>
            <w:r w:rsidR="00A1351E">
              <w:rPr>
                <w:lang w:val="fr-CA" w:bidi="fr-FR"/>
              </w:rPr>
              <w:t>Préparez-vous</w:t>
            </w:r>
            <w:r w:rsidRPr="00F47608">
              <w:rPr>
                <w:lang w:val="fr-CA" w:bidi="fr-FR"/>
              </w:rPr>
              <w:t>! Imprimez cette liste et cochez les éléments à mesure que vous complétez votre trousse.</w:t>
            </w:r>
          </w:p>
        </w:tc>
      </w:tr>
      <w:tr w:rsidR="00A81E21" w:rsidRPr="00F47608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Pr="00F47608" w:rsidRDefault="00A81E21" w:rsidP="00BF526E">
            <w:pPr>
              <w:pStyle w:val="Heading2"/>
              <w:framePr w:hSpace="0" w:wrap="auto" w:vAnchor="margin" w:yAlign="inline"/>
              <w:rPr>
                <w:lang w:val="fr-CA"/>
              </w:rPr>
            </w:pPr>
            <w:r w:rsidRPr="00F47608">
              <w:rPr>
                <w:lang w:val="fr-CA" w:bidi="fr-FR"/>
              </w:rPr>
              <w:t>Articles de toilette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crème pour les mains, lingettes humides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fer à friser, bigoudis chauffants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mouchoirs en papier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sèche-cheveux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</w:t>
            </w:r>
            <w:r w:rsidR="00A1351E">
              <w:rPr>
                <w:lang w:val="fr-CA" w:bidi="fr-FR"/>
              </w:rPr>
              <w:t>tampons d’ouate</w:t>
            </w:r>
            <w:r w:rsidRPr="00F47608">
              <w:rPr>
                <w:lang w:val="fr-CA" w:bidi="fr-FR"/>
              </w:rPr>
              <w:t>, cotons-tiges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brosse, peigne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maquillage 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laque, gel coiffant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démaquillant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épingles à cheveux, élastiques, barrettes</w:t>
            </w:r>
          </w:p>
        </w:tc>
      </w:tr>
      <w:tr w:rsidR="00A81E21" w:rsidRPr="00F47608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vernis à ongles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bandeau ou pinces pour maintenir les cheveux en arrière pendant le maquillage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dissolvant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brosse à dents, dentifrice, </w:t>
            </w:r>
            <w:r w:rsidR="00A1351E">
              <w:rPr>
                <w:lang w:val="fr-CA" w:bidi="fr-FR"/>
              </w:rPr>
              <w:t>soie dentaire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lime à ongles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bain de bouche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pince à épiler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talc pour bébé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petits ciseaux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déodorant</w:t>
            </w:r>
          </w:p>
        </w:tc>
      </w:tr>
      <w:tr w:rsidR="00A81E21" w:rsidRPr="00F47608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petite serviette de toilette 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parfum</w:t>
            </w:r>
          </w:p>
        </w:tc>
      </w:tr>
      <w:tr w:rsidR="00A81E21" w:rsidRPr="00F47608" w:rsidTr="00C50FE1">
        <w:trPr>
          <w:trHeight w:hRule="exact" w:val="363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brosse à vêtements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</w:p>
        </w:tc>
      </w:tr>
      <w:tr w:rsidR="00A81E21" w:rsidRPr="00F47608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Pr="00F47608" w:rsidRDefault="00A81E21" w:rsidP="00BF526E">
            <w:pPr>
              <w:pStyle w:val="Heading2"/>
              <w:framePr w:hSpace="0" w:wrap="auto" w:vAnchor="margin" w:yAlign="inline"/>
              <w:rPr>
                <w:lang w:val="fr-CA"/>
              </w:rPr>
            </w:pPr>
            <w:r w:rsidRPr="00F47608">
              <w:rPr>
                <w:lang w:val="fr-CA" w:bidi="fr-FR"/>
              </w:rPr>
              <w:t>Tenue</w:t>
            </w:r>
          </w:p>
        </w:tc>
      </w:tr>
      <w:tr w:rsidR="00A81E21" w:rsidRPr="00F47608" w:rsidTr="00D65C88">
        <w:trPr>
          <w:trHeight w:hRule="exact" w:val="742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jarretière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</w:t>
            </w:r>
            <w:r w:rsidR="00A1351E" w:rsidRPr="00A1351E">
              <w:rPr>
                <w:lang w:val="fr-CA" w:bidi="fr-FR"/>
              </w:rPr>
              <w:t>épingle de sûreté</w:t>
            </w:r>
            <w:r w:rsidRPr="00F47608">
              <w:rPr>
                <w:lang w:val="fr-CA" w:bidi="fr-FR"/>
              </w:rPr>
              <w:t xml:space="preserve"> et nécessaire de couture avec fils aux </w:t>
            </w:r>
            <w:r w:rsidR="00C50FE1" w:rsidRPr="00F47608">
              <w:rPr>
                <w:lang w:val="fr-CA" w:bidi="fr-FR"/>
              </w:rPr>
              <w:t>couleurs des robes de la mariée</w:t>
            </w:r>
            <w:r w:rsidR="00C50FE1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>et des demoiselles d’honneur</w:t>
            </w:r>
          </w:p>
        </w:tc>
      </w:tr>
      <w:tr w:rsidR="00A81E21" w:rsidRPr="00F47608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vernis à </w:t>
            </w:r>
            <w:r w:rsidR="00572ADF" w:rsidRPr="00F47608">
              <w:rPr>
                <w:lang w:val="fr-CA" w:bidi="fr-FR"/>
              </w:rPr>
              <w:t>ongles transparent pour réparer</w:t>
            </w:r>
            <w:r w:rsidR="00572ADF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 xml:space="preserve">un </w:t>
            </w:r>
            <w:r w:rsidR="00A1351E">
              <w:rPr>
                <w:lang w:val="fr-CA" w:bidi="fr-FR"/>
              </w:rPr>
              <w:t>bas-culotte</w:t>
            </w:r>
            <w:r w:rsidRPr="00F47608">
              <w:rPr>
                <w:lang w:val="fr-CA" w:bidi="fr-FR"/>
              </w:rPr>
              <w:t xml:space="preserve"> filé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</w:t>
            </w:r>
            <w:r w:rsidR="00A1351E">
              <w:rPr>
                <w:lang w:val="fr-CA" w:bidi="fr-FR"/>
              </w:rPr>
              <w:t>ruban-cache</w:t>
            </w:r>
            <w:r w:rsidRPr="00F47608">
              <w:rPr>
                <w:lang w:val="fr-CA" w:bidi="fr-FR"/>
              </w:rPr>
              <w:t xml:space="preserve"> ou </w:t>
            </w:r>
            <w:r w:rsidR="00A1351E">
              <w:rPr>
                <w:lang w:val="fr-CA" w:bidi="fr-FR"/>
              </w:rPr>
              <w:t>ruban adhésif en toile</w:t>
            </w:r>
            <w:r w:rsidRPr="00F47608">
              <w:rPr>
                <w:lang w:val="fr-CA" w:bidi="fr-FR"/>
              </w:rPr>
              <w:t xml:space="preserve"> textile (pour les retouches d’ourlet de dernière minute)</w:t>
            </w:r>
          </w:p>
        </w:tc>
      </w:tr>
      <w:tr w:rsidR="00A81E21" w:rsidRPr="00F47608" w:rsidTr="00C50FE1">
        <w:trPr>
          <w:trHeight w:hRule="exact" w:val="273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fermoirs de boucles d’oreille de rechange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petits ciseaux (pour le fil)</w:t>
            </w:r>
          </w:p>
        </w:tc>
      </w:tr>
      <w:tr w:rsidR="00A81E21" w:rsidRPr="00F47608" w:rsidTr="00D65C88">
        <w:trPr>
          <w:trHeight w:hRule="exact" w:val="481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boutons de rechange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</w:t>
            </w:r>
            <w:r w:rsidR="00A1351E">
              <w:rPr>
                <w:lang w:val="fr-CA" w:bidi="fr-FR"/>
              </w:rPr>
              <w:t>soda</w:t>
            </w:r>
            <w:r w:rsidRPr="00F47608">
              <w:rPr>
                <w:lang w:val="fr-CA" w:bidi="fr-FR"/>
              </w:rPr>
              <w:t xml:space="preserve"> ou</w:t>
            </w:r>
            <w:r w:rsidR="00C50FE1" w:rsidRPr="00F47608">
              <w:rPr>
                <w:lang w:val="fr-CA" w:bidi="fr-FR"/>
              </w:rPr>
              <w:t xml:space="preserve"> autres solutions pour éliminer</w:t>
            </w:r>
            <w:r w:rsidR="00C50FE1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>les taches</w:t>
            </w:r>
          </w:p>
        </w:tc>
      </w:tr>
      <w:tr w:rsidR="00A81E21" w:rsidRPr="00F47608" w:rsidTr="00C50FE1">
        <w:trPr>
          <w:trHeight w:hRule="exact" w:val="327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chaussures plates pour la réception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fer à repasser</w:t>
            </w:r>
          </w:p>
        </w:tc>
      </w:tr>
      <w:tr w:rsidR="00A81E21" w:rsidRPr="00F47608" w:rsidTr="00C50FE1">
        <w:trPr>
          <w:trHeight w:hRule="exact" w:val="354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</w:t>
            </w:r>
            <w:r w:rsidR="00A1351E">
              <w:rPr>
                <w:lang w:val="fr-CA" w:bidi="fr-FR"/>
              </w:rPr>
              <w:t>bas-culotte</w:t>
            </w:r>
            <w:r w:rsidRPr="00F47608">
              <w:rPr>
                <w:lang w:val="fr-CA" w:bidi="fr-FR"/>
              </w:rPr>
              <w:t>s de rechange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</w:p>
        </w:tc>
      </w:tr>
      <w:tr w:rsidR="00A81E21" w:rsidRPr="00F47608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Pr="00F47608" w:rsidRDefault="00A81E21" w:rsidP="00BF526E">
            <w:pPr>
              <w:pStyle w:val="Heading2"/>
              <w:framePr w:hSpace="0" w:wrap="auto" w:vAnchor="margin" w:yAlign="inline"/>
              <w:rPr>
                <w:lang w:val="fr-CA"/>
              </w:rPr>
            </w:pPr>
            <w:r w:rsidRPr="00F47608">
              <w:rPr>
                <w:lang w:val="fr-CA" w:bidi="fr-FR"/>
              </w:rPr>
              <w:t>Pharmacie</w:t>
            </w:r>
          </w:p>
        </w:tc>
      </w:tr>
      <w:tr w:rsidR="00A81E21" w:rsidRPr="00F47608" w:rsidTr="00D65C88">
        <w:trPr>
          <w:trHeight w:hRule="exact" w:val="283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antiacides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pansements</w:t>
            </w:r>
          </w:p>
        </w:tc>
      </w:tr>
      <w:tr w:rsidR="00A81E21" w:rsidRPr="00F47608" w:rsidTr="00C50FE1">
        <w:trPr>
          <w:trHeight w:hRule="exact" w:val="730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antihistaminiques, médicaments contre </w:t>
            </w:r>
            <w:r w:rsidR="00C50FE1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>le rh</w:t>
            </w:r>
            <w:r w:rsidR="00C50FE1" w:rsidRPr="00F47608">
              <w:rPr>
                <w:lang w:val="fr-CA" w:bidi="fr-FR"/>
              </w:rPr>
              <w:t>ume, médicaments sur ordonnance</w:t>
            </w:r>
            <w:r w:rsidR="00C50FE1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>(le cas échéant)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médicaments contre les maux d’estomac</w:t>
            </w:r>
          </w:p>
        </w:tc>
      </w:tr>
      <w:tr w:rsidR="00A81E21" w:rsidRPr="00F47608" w:rsidTr="00BF526E">
        <w:trPr>
          <w:trHeight w:hRule="exact" w:val="518"/>
        </w:trPr>
        <w:tc>
          <w:tcPr>
            <w:tcW w:w="4579" w:type="dxa"/>
            <w:vAlign w:val="center"/>
          </w:tcPr>
          <w:p w:rsidR="00A81E21" w:rsidRPr="00F47608" w:rsidRDefault="00A81E21" w:rsidP="00C50FE1">
            <w:pPr>
              <w:pStyle w:val="lmentsdelistedecontrle"/>
              <w:framePr w:hSpace="0" w:wrap="auto" w:yAlign="inline"/>
              <w:spacing w:before="0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aspirine, analgésiques</w:t>
            </w:r>
          </w:p>
        </w:tc>
        <w:tc>
          <w:tcPr>
            <w:tcW w:w="4781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produits d’hygiène féminine </w:t>
            </w:r>
            <w:r w:rsidR="00C50FE1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 xml:space="preserve">(tampons, </w:t>
            </w:r>
            <w:r w:rsidR="00A1351E">
              <w:rPr>
                <w:lang w:val="fr-CA" w:bidi="fr-FR"/>
              </w:rPr>
              <w:t>protège-dessous</w:t>
            </w:r>
            <w:r w:rsidRPr="00F47608">
              <w:rPr>
                <w:lang w:val="fr-CA" w:bidi="fr-FR"/>
              </w:rPr>
              <w:t>, etc.)</w:t>
            </w:r>
          </w:p>
        </w:tc>
      </w:tr>
      <w:tr w:rsidR="00A81E21" w:rsidRPr="00F47608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Pr="00F47608" w:rsidRDefault="00A81E21" w:rsidP="00BF526E">
            <w:pPr>
              <w:pStyle w:val="Heading2"/>
              <w:framePr w:hSpace="0" w:wrap="auto" w:vAnchor="margin" w:yAlign="inline"/>
              <w:rPr>
                <w:lang w:val="fr-CA"/>
              </w:rPr>
            </w:pPr>
            <w:r w:rsidRPr="00F47608">
              <w:rPr>
                <w:lang w:val="fr-CA" w:bidi="fr-FR"/>
              </w:rPr>
              <w:t>Divers</w:t>
            </w:r>
          </w:p>
        </w:tc>
      </w:tr>
      <w:tr w:rsidR="00A81E21" w:rsidRPr="00F47608" w:rsidTr="00C50FE1">
        <w:trPr>
          <w:trHeight w:hRule="exact" w:val="523"/>
        </w:trPr>
        <w:tc>
          <w:tcPr>
            <w:tcW w:w="4579" w:type="dxa"/>
            <w:vAlign w:val="center"/>
          </w:tcPr>
          <w:p w:rsidR="00A81E21" w:rsidRPr="00F47608" w:rsidRDefault="00A81E21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exemplaires supplémentaires des indications pour se rendre à la réception</w:t>
            </w:r>
          </w:p>
        </w:tc>
        <w:tc>
          <w:tcPr>
            <w:tcW w:w="4781" w:type="dxa"/>
            <w:vAlign w:val="center"/>
          </w:tcPr>
          <w:p w:rsidR="00A81E21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champagne, verres</w:t>
            </w:r>
          </w:p>
        </w:tc>
      </w:tr>
      <w:tr w:rsidR="00BF526E" w:rsidRPr="00F47608" w:rsidTr="00C50FE1">
        <w:trPr>
          <w:trHeight w:hRule="exact" w:val="273"/>
        </w:trPr>
        <w:tc>
          <w:tcPr>
            <w:tcW w:w="4579" w:type="dxa"/>
            <w:vAlign w:val="center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bonbons à la menthe</w:t>
            </w:r>
          </w:p>
        </w:tc>
        <w:tc>
          <w:tcPr>
            <w:tcW w:w="4781" w:type="dxa"/>
            <w:vAlign w:val="center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petite lampe de poche</w:t>
            </w:r>
          </w:p>
        </w:tc>
      </w:tr>
      <w:tr w:rsidR="00BF526E" w:rsidRPr="00F47608" w:rsidTr="00C50FE1">
        <w:trPr>
          <w:trHeight w:hRule="exact" w:val="507"/>
        </w:trPr>
        <w:tc>
          <w:tcPr>
            <w:tcW w:w="4579" w:type="dxa"/>
            <w:vAlign w:val="center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</w:t>
            </w:r>
            <w:r w:rsidR="00A1351E">
              <w:rPr>
                <w:lang w:val="fr-CA" w:bidi="fr-FR"/>
              </w:rPr>
              <w:t>numéros de téléphones cellulaires et résidentiels</w:t>
            </w:r>
            <w:r w:rsidR="00C50FE1" w:rsidRPr="00F47608">
              <w:rPr>
                <w:lang w:val="fr-CA" w:bidi="fr-FR"/>
              </w:rPr>
              <w:t>s</w:t>
            </w:r>
            <w:r w:rsidR="00C50FE1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>de tous les invités du mariage</w:t>
            </w:r>
          </w:p>
        </w:tc>
        <w:tc>
          <w:tcPr>
            <w:tcW w:w="4781" w:type="dxa"/>
            <w:vAlign w:val="center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</w:t>
            </w:r>
            <w:r w:rsidR="00A1351E">
              <w:rPr>
                <w:lang w:val="fr-CA" w:bidi="fr-FR"/>
              </w:rPr>
              <w:t>couteau universel pliant</w:t>
            </w:r>
          </w:p>
        </w:tc>
      </w:tr>
      <w:tr w:rsidR="00BF526E" w:rsidRPr="00F47608" w:rsidTr="00C50FE1">
        <w:trPr>
          <w:trHeight w:hRule="exact" w:val="246"/>
        </w:trPr>
        <w:tc>
          <w:tcPr>
            <w:tcW w:w="4579" w:type="dxa"/>
            <w:vAlign w:val="center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coordonnées de tous les fournisseurs</w:t>
            </w:r>
          </w:p>
        </w:tc>
        <w:tc>
          <w:tcPr>
            <w:tcW w:w="4781" w:type="dxa"/>
            <w:vAlign w:val="center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</w:t>
            </w:r>
            <w:r w:rsidR="00A1351E">
              <w:rPr>
                <w:lang w:val="fr-CA" w:bidi="fr-FR"/>
              </w:rPr>
              <w:t>ruban adhésif en toile</w:t>
            </w:r>
          </w:p>
        </w:tc>
      </w:tr>
      <w:tr w:rsidR="00BF526E" w:rsidRPr="00F47608" w:rsidTr="00C50FE1">
        <w:trPr>
          <w:trHeight w:hRule="exact" w:val="291"/>
        </w:trPr>
        <w:tc>
          <w:tcPr>
            <w:tcW w:w="4579" w:type="dxa"/>
            <w:vAlign w:val="center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collations</w:t>
            </w:r>
          </w:p>
        </w:tc>
        <w:tc>
          <w:tcPr>
            <w:tcW w:w="4781" w:type="dxa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_________________________________________</w:t>
            </w:r>
          </w:p>
        </w:tc>
      </w:tr>
      <w:tr w:rsidR="00BF526E" w:rsidRPr="00F47608" w:rsidTr="00C50FE1">
        <w:trPr>
          <w:trHeight w:hRule="exact" w:val="478"/>
        </w:trPr>
        <w:tc>
          <w:tcPr>
            <w:tcW w:w="4579" w:type="dxa"/>
            <w:vAlign w:val="center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glacière avec jus de fruits, sodas et eau </w:t>
            </w:r>
            <w:r w:rsidR="00C50FE1" w:rsidRPr="00F47608">
              <w:rPr>
                <w:lang w:val="fr-CA" w:bidi="fr-FR"/>
              </w:rPr>
              <w:br/>
            </w:r>
            <w:r w:rsidRPr="00F47608">
              <w:rPr>
                <w:lang w:val="fr-CA" w:bidi="fr-FR"/>
              </w:rPr>
              <w:t>en bouteille</w:t>
            </w:r>
          </w:p>
        </w:tc>
        <w:tc>
          <w:tcPr>
            <w:tcW w:w="4781" w:type="dxa"/>
          </w:tcPr>
          <w:p w:rsidR="00BF526E" w:rsidRPr="00F47608" w:rsidRDefault="00BF526E" w:rsidP="00BF526E">
            <w:pPr>
              <w:pStyle w:val="lmentsdelistedecontrle"/>
              <w:framePr w:hSpace="0" w:wrap="auto" w:yAlign="inline"/>
              <w:rPr>
                <w:lang w:val="fr-CA"/>
              </w:rPr>
            </w:pPr>
            <w:r w:rsidRPr="00F47608">
              <w:rPr>
                <w:rStyle w:val="Caractredepuce"/>
                <w:lang w:val="fr-CA" w:bidi="fr-FR"/>
              </w:rPr>
              <w:sym w:font="Wingdings" w:char="F0A8"/>
            </w:r>
            <w:r w:rsidRPr="00F47608">
              <w:rPr>
                <w:lang w:val="fr-CA" w:bidi="fr-FR"/>
              </w:rPr>
              <w:t xml:space="preserve"> _________________________________________</w:t>
            </w:r>
          </w:p>
        </w:tc>
      </w:tr>
    </w:tbl>
    <w:p w:rsidR="00356F94" w:rsidRPr="00F47608" w:rsidRDefault="00356F94" w:rsidP="003402C2">
      <w:pPr>
        <w:pStyle w:val="Heading1"/>
        <w:framePr w:wrap="around"/>
        <w:rPr>
          <w:lang w:val="fr-CA"/>
        </w:rPr>
      </w:pPr>
    </w:p>
    <w:sectPr w:rsidR="00356F94" w:rsidRPr="00F47608" w:rsidSect="00337D74">
      <w:pgSz w:w="11906" w:h="16838" w:code="9"/>
      <w:pgMar w:top="72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B5" w:rsidRDefault="009F3CB5" w:rsidP="00337D74">
      <w:pPr>
        <w:framePr w:wrap="around"/>
        <w:spacing w:before="0" w:after="0"/>
      </w:pPr>
      <w:r>
        <w:separator/>
      </w:r>
    </w:p>
  </w:endnote>
  <w:endnote w:type="continuationSeparator" w:id="0">
    <w:p w:rsidR="009F3CB5" w:rsidRDefault="009F3CB5" w:rsidP="00337D74">
      <w:pPr>
        <w:framePr w:wrap="around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B5" w:rsidRDefault="009F3CB5" w:rsidP="00337D74">
      <w:pPr>
        <w:framePr w:wrap="around"/>
        <w:spacing w:before="0" w:after="0"/>
      </w:pPr>
      <w:r>
        <w:separator/>
      </w:r>
    </w:p>
  </w:footnote>
  <w:footnote w:type="continuationSeparator" w:id="0">
    <w:p w:rsidR="009F3CB5" w:rsidRDefault="009F3CB5" w:rsidP="00337D74">
      <w:pPr>
        <w:framePr w:wrap="around"/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88"/>
    <w:rsid w:val="00053EC3"/>
    <w:rsid w:val="00083796"/>
    <w:rsid w:val="000E0876"/>
    <w:rsid w:val="001D675E"/>
    <w:rsid w:val="001F2D86"/>
    <w:rsid w:val="00337D74"/>
    <w:rsid w:val="003402C2"/>
    <w:rsid w:val="00356F94"/>
    <w:rsid w:val="00396158"/>
    <w:rsid w:val="005071D2"/>
    <w:rsid w:val="00525F22"/>
    <w:rsid w:val="005609FA"/>
    <w:rsid w:val="00572ADF"/>
    <w:rsid w:val="00597DF0"/>
    <w:rsid w:val="006F62E4"/>
    <w:rsid w:val="00711C2A"/>
    <w:rsid w:val="008252C2"/>
    <w:rsid w:val="008A6CB4"/>
    <w:rsid w:val="008E7154"/>
    <w:rsid w:val="009017AF"/>
    <w:rsid w:val="00936F97"/>
    <w:rsid w:val="00976EF4"/>
    <w:rsid w:val="00986604"/>
    <w:rsid w:val="009C637B"/>
    <w:rsid w:val="009F3CB5"/>
    <w:rsid w:val="00A1351E"/>
    <w:rsid w:val="00A3336F"/>
    <w:rsid w:val="00A73931"/>
    <w:rsid w:val="00A81E21"/>
    <w:rsid w:val="00B07CEB"/>
    <w:rsid w:val="00BA085F"/>
    <w:rsid w:val="00BF526E"/>
    <w:rsid w:val="00C143CF"/>
    <w:rsid w:val="00C50FE1"/>
    <w:rsid w:val="00C61A18"/>
    <w:rsid w:val="00C63FF0"/>
    <w:rsid w:val="00C91342"/>
    <w:rsid w:val="00CA743E"/>
    <w:rsid w:val="00D65C88"/>
    <w:rsid w:val="00D67844"/>
    <w:rsid w:val="00D93416"/>
    <w:rsid w:val="00E71CFB"/>
    <w:rsid w:val="00EA4A3F"/>
    <w:rsid w:val="00F47608"/>
    <w:rsid w:val="00F96877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85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C2"/>
    <w:pPr>
      <w:framePr w:hSpace="180" w:wrap="around" w:hAnchor="text" w:y="817"/>
      <w:spacing w:before="40" w:after="80"/>
    </w:pPr>
    <w:rPr>
      <w:rFonts w:ascii="Franklin Gothic Book" w:hAnsi="Franklin Gothic Book"/>
      <w:color w:val="3B424F" w:themeColor="accent5"/>
      <w:spacing w:val="4"/>
      <w:szCs w:val="18"/>
    </w:rPr>
  </w:style>
  <w:style w:type="paragraph" w:styleId="Heading1">
    <w:name w:val="heading 1"/>
    <w:basedOn w:val="Normal"/>
    <w:next w:val="Normal"/>
    <w:qFormat/>
    <w:rsid w:val="00A81E21"/>
    <w:pPr>
      <w:keepNext/>
      <w:framePr w:wrap="around"/>
      <w:spacing w:before="60" w:after="60"/>
      <w:outlineLvl w:val="0"/>
    </w:pPr>
    <w:rPr>
      <w:rFonts w:ascii="Franklin Gothic Demi" w:hAnsi="Franklin Gothic Demi" w:cs="Arial"/>
      <w:bCs/>
      <w:color w:val="C7CB12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94"/>
    <w:pPr>
      <w:framePr w:wrap="around" w:vAnchor="page" w:y="1621"/>
      <w:spacing w:after="40"/>
      <w:outlineLvl w:val="1"/>
    </w:pPr>
    <w:rPr>
      <w:rFonts w:ascii="Franklin Gothic Demi" w:hAnsi="Franklin Gothic Demi"/>
      <w:color w:val="FFFFFF"/>
      <w:spacing w:val="8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F94"/>
    <w:rPr>
      <w:rFonts w:ascii="Franklin Gothic Demi" w:hAnsi="Franklin Gothic Demi"/>
      <w:color w:val="FFFFFF"/>
      <w:spacing w:val="8"/>
      <w:sz w:val="28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entsdelistedecontrle">
    <w:name w:val="Éléments de liste de contrôle"/>
    <w:basedOn w:val="Normal"/>
    <w:link w:val="Caractredlmentsdelistedecontrle"/>
    <w:qFormat/>
    <w:rsid w:val="00A81E21"/>
    <w:pPr>
      <w:framePr w:wrap="around"/>
      <w:ind w:left="202" w:hanging="2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framePr w:wrap="around"/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paragraph" w:customStyle="1" w:styleId="Puce">
    <w:name w:val="Puce"/>
    <w:basedOn w:val="lmentsdelistedecontrle"/>
    <w:link w:val="Caractredepuce"/>
    <w:qFormat/>
    <w:rsid w:val="00A81E21"/>
    <w:pPr>
      <w:framePr w:wrap="around"/>
    </w:pPr>
    <w:rPr>
      <w:color w:val="940C34" w:themeColor="accent3"/>
    </w:rPr>
  </w:style>
  <w:style w:type="character" w:customStyle="1" w:styleId="Caractredlmentsdelistedecontrle">
    <w:name w:val="Caractère d’éléments de liste de contrôle"/>
    <w:basedOn w:val="DefaultParagraphFont"/>
    <w:link w:val="lmentsdelistedecontrle"/>
    <w:rsid w:val="00A81E21"/>
    <w:rPr>
      <w:rFonts w:ascii="Franklin Gothic Book" w:hAnsi="Franklin Gothic Book"/>
      <w:color w:val="3B424F" w:themeColor="accent5"/>
      <w:spacing w:val="4"/>
      <w:szCs w:val="18"/>
    </w:rPr>
  </w:style>
  <w:style w:type="character" w:customStyle="1" w:styleId="Caractredepuce">
    <w:name w:val="Caractère de puce"/>
    <w:basedOn w:val="Caractredlmentsdelistedecontrle"/>
    <w:link w:val="Puce"/>
    <w:rsid w:val="00A81E21"/>
    <w:rPr>
      <w:rFonts w:ascii="Franklin Gothic Book" w:hAnsi="Franklin Gothic Book"/>
      <w:color w:val="940C34" w:themeColor="accent3"/>
      <w:spacing w:val="4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74"/>
    <w:pPr>
      <w:framePr w:wrap="around"/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7D74"/>
    <w:rPr>
      <w:rFonts w:ascii="Franklin Gothic Book" w:hAnsi="Franklin Gothic Book"/>
      <w:color w:val="3B424F" w:themeColor="accent5"/>
      <w:spacing w:val="4"/>
      <w:szCs w:val="18"/>
    </w:rPr>
  </w:style>
  <w:style w:type="paragraph" w:styleId="Footer">
    <w:name w:val="footer"/>
    <w:basedOn w:val="Normal"/>
    <w:link w:val="FooterChar"/>
    <w:uiPriority w:val="99"/>
    <w:unhideWhenUsed/>
    <w:rsid w:val="00337D74"/>
    <w:pPr>
      <w:framePr w:wrap="around"/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7D74"/>
    <w:rPr>
      <w:rFonts w:ascii="Franklin Gothic Book" w:hAnsi="Franklin Gothic Book"/>
      <w:color w:val="3B424F" w:themeColor="accent5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6">
      <a:dk1>
        <a:sysClr val="windowText" lastClr="000000"/>
      </a:dk1>
      <a:lt1>
        <a:sysClr val="window" lastClr="FFFFFF"/>
      </a:lt1>
      <a:dk2>
        <a:srgbClr val="C7CB12"/>
      </a:dk2>
      <a:lt2>
        <a:srgbClr val="F4E7ED"/>
      </a:lt2>
      <a:accent1>
        <a:srgbClr val="F8992E"/>
      </a:accent1>
      <a:accent2>
        <a:srgbClr val="CA385D"/>
      </a:accent2>
      <a:accent3>
        <a:srgbClr val="940C34"/>
      </a:accent3>
      <a:accent4>
        <a:srgbClr val="E0C6AF"/>
      </a:accent4>
      <a:accent5>
        <a:srgbClr val="3B424F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2011-12-28T15:31:00+00:00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1404301</Value>
      <Value>1404302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Wedding day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000C-3D5F-435C-99BC-83B1183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039C0-3885-42F0-B00F-B3BEB44EADA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94BC0-748F-4DC4-ABA6-E80859B7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TF02807926.dotx</Template>
  <TotalTime>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Hrdlickova (RWS Moravia)</dc:creator>
  <cp:lastModifiedBy>Zakia Lu (RWS Moravia)</cp:lastModifiedBy>
  <cp:revision>3</cp:revision>
  <cp:lastPrinted>2003-07-29T16:24:00Z</cp:lastPrinted>
  <dcterms:created xsi:type="dcterms:W3CDTF">2018-12-07T14:59:00Z</dcterms:created>
  <dcterms:modified xsi:type="dcterms:W3CDTF">2018-12-17T03:14:00Z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