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A7" w:rsidRPr="00665662" w:rsidRDefault="00024FA7">
      <w:pPr>
        <w:pStyle w:val="Title"/>
        <w:rPr>
          <w:lang w:val="es-ES"/>
        </w:rPr>
      </w:pPr>
      <w:bookmarkStart w:id="0" w:name="_GoBack"/>
      <w:bookmarkEnd w:id="0"/>
      <w:r w:rsidRPr="00665662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8pt;margin-top:9pt;width:106.7pt;height:142.95pt;z-index:251657728;mso-wrap-style:none;mso-position-horizontal-relative:page" filled="f" stroked="f">
            <v:textbox style="mso-next-textbox:#_x0000_s1029;mso-fit-shape-to-text:t">
              <w:txbxContent>
                <w:p w:rsidR="00024FA7" w:rsidRDefault="00D47777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igüeña con un bebé" style="width:92.25pt;height:135.75pt" fillcolor="#cfc">
                        <v:imagedata r:id="rId4" o:title=""/>
                      </v:shape>
                    </w:pict>
                  </w:r>
                </w:p>
              </w:txbxContent>
            </v:textbox>
            <w10:wrap anchorx="page"/>
          </v:shape>
        </w:pict>
      </w:r>
      <w:r w:rsidRPr="00665662">
        <w:rPr>
          <w:lang w:val="es-ES"/>
        </w:rPr>
        <w:t>Cosas que hay que llevar al hospital cuando se va a tener un bebé</w:t>
      </w:r>
    </w:p>
    <w:p w:rsidR="00024FA7" w:rsidRPr="00665662" w:rsidRDefault="00024FA7">
      <w:pPr>
        <w:pStyle w:val="BodyText"/>
        <w:rPr>
          <w:lang w:val="es-ES"/>
        </w:rPr>
      </w:pPr>
    </w:p>
    <w:tbl>
      <w:tblPr>
        <w:tblStyle w:val="Tablaconcuadrcula1"/>
        <w:tblpPr w:leftFromText="180" w:rightFromText="180" w:vertAnchor="text" w:horzAnchor="margin" w:tblpY="1"/>
        <w:tblOverlap w:val="never"/>
        <w:tblW w:w="9540" w:type="dxa"/>
        <w:tblInd w:w="0" w:type="dxa"/>
        <w:tblLook w:val="01E0" w:firstRow="1" w:lastRow="1" w:firstColumn="1" w:lastColumn="1" w:noHBand="0" w:noVBand="0"/>
      </w:tblPr>
      <w:tblGrid>
        <w:gridCol w:w="468"/>
        <w:gridCol w:w="9072"/>
      </w:tblGrid>
      <w:tr w:rsidR="00024FA7" w:rsidRPr="00665662">
        <w:tc>
          <w:tcPr>
            <w:tcW w:w="9540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Heading2"/>
              <w:outlineLvl w:val="1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Para la mamá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Ropa de dormir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Albornoz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Calcetines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Pantuflas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Ropa interior adecuada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Sujetador de lactancia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Discos de lactancia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Mudas de ropa y calzado cómodo para estar en casa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Artículos de tocador y cepillo de dientes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Gomas para el cabello, si fuese necesario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Protector labial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Compresas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Aceites y lociones para masajes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Bolas o rodillos para masajes después del parto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Chicles y caramelos y algo para picar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Libros, revistas y música relajantes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Gafas de sol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Teléfono móvil y lista con los números más importantes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</w:p>
        </w:tc>
      </w:tr>
      <w:tr w:rsidR="00024FA7" w:rsidRPr="00665662">
        <w:tc>
          <w:tcPr>
            <w:tcW w:w="9540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Heading2"/>
              <w:outlineLvl w:val="1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Para el acompañante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Reloj con segundero para cronometrar las contracciones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Cámara de fotos con carrete o cámara de vídeo con cinta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Artículos de tocador y cepillo de dientes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Ropa para cambiarse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Aperitivos y algo para leer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Billetes y monedas para las máquinas expendedoras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Teléfono móvil con la tarjeta cargada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Lista con los números de teléfono más importantes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6600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</w:p>
        </w:tc>
      </w:tr>
      <w:tr w:rsidR="00024FA7" w:rsidRPr="00665662">
        <w:tc>
          <w:tcPr>
            <w:tcW w:w="9540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Heading2"/>
              <w:outlineLvl w:val="1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Para el bebé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 xml:space="preserve">Pañales de recién nacido 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Toallas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 xml:space="preserve">Ropa de recién nacido 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Calcetines o patucos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Gorritos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  <w:r w:rsidRPr="00665662">
              <w:rPr>
                <w:lang w:val="es-ES" w:bidi="en-US"/>
              </w:rPr>
              <w:t>Silla de coche para bebé</w:t>
            </w: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</w:p>
        </w:tc>
      </w:tr>
      <w:tr w:rsidR="00024FA7" w:rsidRPr="00665662">
        <w:tc>
          <w:tcPr>
            <w:tcW w:w="4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auto"/>
            <w:vAlign w:val="center"/>
          </w:tcPr>
          <w:p w:rsidR="00024FA7" w:rsidRPr="00665662" w:rsidRDefault="00024FA7">
            <w:pPr>
              <w:pStyle w:val="BodyText2"/>
              <w:rPr>
                <w:lang w:val="es-ES" w:bidi="en-US"/>
              </w:rPr>
            </w:pPr>
          </w:p>
        </w:tc>
        <w:tc>
          <w:tcPr>
            <w:tcW w:w="9072" w:type="dxa"/>
            <w:tcBorders>
              <w:top w:val="single" w:sz="4" w:space="0" w:color="FFCC99"/>
              <w:left w:val="single" w:sz="4" w:space="0" w:color="FFCC99"/>
              <w:bottom w:val="single" w:sz="4" w:space="0" w:color="FFCC99"/>
              <w:right w:val="single" w:sz="4" w:space="0" w:color="FF6600"/>
            </w:tcBorders>
            <w:shd w:val="clear" w:color="auto" w:fill="auto"/>
          </w:tcPr>
          <w:p w:rsidR="00024FA7" w:rsidRPr="00665662" w:rsidRDefault="00024FA7">
            <w:pPr>
              <w:pStyle w:val="BodyText"/>
              <w:rPr>
                <w:lang w:val="es-ES" w:bidi="en-US"/>
              </w:rPr>
            </w:pPr>
          </w:p>
        </w:tc>
      </w:tr>
    </w:tbl>
    <w:p w:rsidR="00024FA7" w:rsidRPr="00665662" w:rsidRDefault="00024FA7">
      <w:pPr>
        <w:pStyle w:val="BodyText"/>
        <w:rPr>
          <w:lang w:val="es-ES"/>
        </w:rPr>
      </w:pPr>
    </w:p>
    <w:sectPr w:rsidR="00024FA7" w:rsidRPr="00665662" w:rsidSect="00024FA7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024FA7"/>
    <w:rsid w:val="005B482C"/>
    <w:rsid w:val="00665662"/>
    <w:rsid w:val="008A3E31"/>
    <w:rsid w:val="00D47777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  <w:outlineLvl w:val="0"/>
    </w:pPr>
    <w:rPr>
      <w:b/>
      <w:bCs/>
      <w:color w:val="FF6600"/>
      <w:kern w:val="28"/>
      <w:sz w:val="32"/>
      <w:szCs w:val="32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jc w:val="center"/>
    </w:p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Expectant mother’s hospital checklist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656512</Value>
      <Value>656537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2012-01-24T15:30:00+00:00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TP102818982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806785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04E81-5E63-4916-9782-0B382CA6056A}"/>
</file>

<file path=customXml/itemProps2.xml><?xml version="1.0" encoding="utf-8"?>
<ds:datastoreItem xmlns:ds="http://schemas.openxmlformats.org/officeDocument/2006/customXml" ds:itemID="{07AAEFBE-C3A1-4AE2-BB8C-60F6BCA2E189}"/>
</file>

<file path=customXml/itemProps3.xml><?xml version="1.0" encoding="utf-8"?>
<ds:datastoreItem xmlns:ds="http://schemas.openxmlformats.org/officeDocument/2006/customXml" ds:itemID="{51DB63F5-9B6F-456F-8656-0A7F1AE18DB3}"/>
</file>

<file path=docProps/app.xml><?xml version="1.0" encoding="utf-8"?>
<Properties xmlns="http://schemas.openxmlformats.org/officeDocument/2006/extended-properties" xmlns:vt="http://schemas.openxmlformats.org/officeDocument/2006/docPropsVTypes">
  <Template>06089261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Cosas que hay que llevar al hospital cuando se va a tener un bebé</vt:lpstr>
    </vt:vector>
  </TitlesOfParts>
  <Manager/>
  <Company>Microsoft Corporation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2012-06-06T16:40:00Z</dcterms:created>
  <dcterms:modified xsi:type="dcterms:W3CDTF">2012-06-06T16:40:00Z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TC060892613082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14214100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